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9E" w:rsidRPr="004860BA" w:rsidRDefault="00D6509E" w:rsidP="00D6509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40"/>
          <w:szCs w:val="40"/>
        </w:rPr>
      </w:pPr>
      <w:bookmarkStart w:id="0" w:name="_GoBack"/>
      <w:r w:rsidRPr="004860BA">
        <w:rPr>
          <w:rFonts w:ascii="TH SarabunPSK" w:eastAsia="Times New Roman" w:hAnsi="TH SarabunPSK" w:cs="TH SarabunPSK" w:hint="cs"/>
          <w:b/>
          <w:bCs/>
          <w:color w:val="050505"/>
          <w:sz w:val="40"/>
          <w:szCs w:val="40"/>
          <w:cs/>
        </w:rPr>
        <w:t>กองสวัสดิการสังคม  องค์การบริหารส่วนตำบลเมืองยาง  อำเภอชำนิ  จังหวัดบุรีรัมย์</w:t>
      </w:r>
    </w:p>
    <w:p w:rsidR="003C0B3D" w:rsidRPr="004860BA" w:rsidRDefault="00D6509E" w:rsidP="0076531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 w:rsidRPr="004860BA">
        <w:rPr>
          <w:rFonts w:ascii="TH SarabunPSK" w:eastAsia="Times New Roman" w:hAnsi="TH SarabunPSK" w:cs="TH SarabunPSK"/>
          <w:b/>
          <w:bCs/>
          <w:color w:val="050505"/>
          <w:sz w:val="40"/>
          <w:szCs w:val="40"/>
          <w:cs/>
        </w:rPr>
        <w:t>ประชาสัมพันธ์การ</w:t>
      </w:r>
      <w:r w:rsidR="006E528C" w:rsidRPr="004860BA">
        <w:rPr>
          <w:rFonts w:ascii="TH SarabunPSK" w:eastAsia="Times New Roman" w:hAnsi="TH SarabunPSK" w:cs="TH SarabunPSK" w:hint="cs"/>
          <w:b/>
          <w:bCs/>
          <w:color w:val="050505"/>
          <w:sz w:val="40"/>
          <w:szCs w:val="40"/>
          <w:cs/>
        </w:rPr>
        <w:t>ยื่นคำ</w:t>
      </w:r>
      <w:r w:rsidRPr="004860BA">
        <w:rPr>
          <w:rFonts w:ascii="TH SarabunPSK" w:eastAsia="Times New Roman" w:hAnsi="TH SarabunPSK" w:cs="TH SarabunPSK"/>
          <w:b/>
          <w:bCs/>
          <w:color w:val="050505"/>
          <w:sz w:val="40"/>
          <w:szCs w:val="40"/>
          <w:cs/>
        </w:rPr>
        <w:t>ขอ</w:t>
      </w:r>
      <w:r w:rsidR="006E528C" w:rsidRPr="004860BA">
        <w:rPr>
          <w:rFonts w:ascii="TH SarabunPSK" w:eastAsia="Times New Roman" w:hAnsi="TH SarabunPSK" w:cs="TH SarabunPSK" w:hint="cs"/>
          <w:b/>
          <w:bCs/>
          <w:color w:val="050505"/>
          <w:sz w:val="40"/>
          <w:szCs w:val="40"/>
          <w:cs/>
        </w:rPr>
        <w:t>ค่า</w:t>
      </w:r>
      <w:r w:rsidRPr="004860BA">
        <w:rPr>
          <w:rFonts w:ascii="TH SarabunPSK" w:eastAsia="Times New Roman" w:hAnsi="TH SarabunPSK" w:cs="TH SarabunPSK"/>
          <w:b/>
          <w:bCs/>
          <w:color w:val="050505"/>
          <w:sz w:val="40"/>
          <w:szCs w:val="40"/>
          <w:cs/>
        </w:rPr>
        <w:t>จัดการศพผู้สูงอายุตามประเพณี</w:t>
      </w:r>
      <w:bookmarkEnd w:id="0"/>
    </w:p>
    <w:p w:rsidR="003C0B3D" w:rsidRDefault="003C0B3D" w:rsidP="003C0B3D">
      <w:pPr>
        <w:shd w:val="clear" w:color="auto" w:fill="FFFFFF"/>
        <w:spacing w:after="0" w:line="240" w:lineRule="auto"/>
        <w:rPr>
          <w:rFonts w:ascii="Segoe UI" w:eastAsia="Times New Roman" w:hAnsi="Segoe UI" w:cs="Angsana New"/>
          <w:color w:val="050505"/>
          <w:sz w:val="23"/>
          <w:szCs w:val="23"/>
        </w:rPr>
      </w:pP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48"/>
          <w:szCs w:val="48"/>
          <w:cs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48"/>
          <w:szCs w:val="48"/>
          <w:cs/>
        </w:rPr>
        <w:t>ประชาสัมพันธ์</w:t>
      </w:r>
      <w:r w:rsidRPr="00C40E5E">
        <w:rPr>
          <w:rFonts w:ascii="TH SarabunPSK" w:eastAsia="Times New Roman" w:hAnsi="TH SarabunPSK" w:cs="TH SarabunPSK" w:hint="cs"/>
          <w:b/>
          <w:bCs/>
          <w:color w:val="050505"/>
          <w:sz w:val="48"/>
          <w:szCs w:val="48"/>
          <w:cs/>
        </w:rPr>
        <w:t>การยื่นคำขอค่าจัดการศพผู้สูงอายุตามประเพณี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  <w:u w:val="single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คุณสมบัติผู้สูงอายุที่เสียชีวิต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อายุเกิน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60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ปีบริบูรณ์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มีสัญชาติไทย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50505"/>
          <w:sz w:val="28"/>
          <w:cs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มีบัตรสวัสดิการแห่งรัฐ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เว้นแต่มีคุณสมบัติตามเกณฑ์บัตรสวัสดิการแห่งรัฐแต่ยังไม่มีบัตรสวัสดิการแห่งรัฐ ให้นายอำเภอ หรือ กำนันผู้ใหญ่บ้าน หรือ นายก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อปท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. หรือประธานชุมชน เป็นผู้ออกหนังสือรับรอง ตามแบบที่อธิบดีกรมกิจการผู้สูงอายุกำหนด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  <w:u w:val="single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สถานที่ยื่นคำขอ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-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สามารถยื่นคำขอที่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พมจ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. หรือที่ว่าการอำเภอ หรือที่ทำการ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อปท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. โดยต้องยื่นภายใน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6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เดือนนับแต่วันที่ออกใบ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มรณ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  <w:u w:val="single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เอกสารในการยื่นคำขอ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ใบ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มรณ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บัตรของผู้สูงอายุ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บัตรสวัสดิการแห่งรัฐ หรือหนังสือรับรอง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บัตรประจำตัวประชาชนของผู้ยื่นคำขอ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4.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สมุดบัญชีหรือเลขที่บัญชีธนาคารของผู้ยื่นคำขอ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5.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หนังสือรับรองเป็นผู้รับผิดชอบการจัดการศพตามประเพณี ที่ออกโดย นายอำเภอ หรือ กำนันผู้ใหญ่บ้าน หรือ นายก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อปท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. หรือประธานชุมชน ตามแบบที่อธิบดีกรมกิจการผู้สูงอายุกำหนด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##**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ผู้ยื่นคำขอ และผู้รับรองต้องไม่เป็นบุคคลๆเดียวกัน**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>##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กรณีไม่มีบัตรสวัสดิการแห่งรัฐ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 ผู้รับรองจะต้องพิจารณาคุณสมบัติของผู้สูงอายุขณะมีชีวิต ตามรายละเอียดต่อไปนี้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มีสัญชาติไทย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รายได้ไม่เกิน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100,000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บาท/คน/ปี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ไม่มีทรัพย์สินทางการเงิน ได้แก่ เงินฝากธนาคาร สลากออมสิน พันธบัตรรัฐบาล และตราสารหนี้ หรือมีทรัพย์สินทางการเงินดังกล่าว จะต้องมีจำนวนรวมทั้งสิ้นไม่เกิน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100,000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บาท ณ เวลาใดเวลาหนึ่ง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4.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ไม่เป็นเจ้าของกรรมสิทธิ์ในอสังหาริมทรัพย์ตามกฎหมายหรือถ้าเป็นเจ้าของกรรมสิทธิ์ดังกล่าว จะต้องเป็นไปตาม</w:t>
      </w: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cs/>
        </w:rPr>
        <w:t>หลักเกณฑ์และเงื่อนไขดังนี้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</w:rPr>
        <w:t xml:space="preserve">4.1 </w:t>
      </w: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cs/>
        </w:rPr>
        <w:t>ที่อยู่อาศัยที่เป็นที่ดินและสิ่งปลูกสร้าง (บ้านพร้อมที่ดิน)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กรณีอยู่อาศัยอย่างเดียว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1.1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บ้านหรือทาวเฮาส์ต้องมีพื้นที่ไม่เกิน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25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ตารางวา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1.2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ห้องชุดต้องมีพื้นที่ไม่เกิน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35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ตารางเมตร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กรณีเป็นที่อยู่ และใช้ประโยชน์จากที่ดินเพื่อการเกษตรต้องมีพื้นที่ไม่เกิน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ไร่ หรือในกรณีที่ใช้ประโยชน์ที่ดินเพื่อการอื่นที่ไม่ใช่การเกษตรจะต้องมีพื้นที่ไม่เกิน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ไร่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</w:rPr>
        <w:t xml:space="preserve">4.2 </w:t>
      </w: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cs/>
        </w:rPr>
        <w:t>ที่ดินแยกจากที่อยู่อาศัย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ในกรณีที่ใช้ประโยชน์ที่ดินเพื่อการอื่นที่ไม่ใช่เพื่อการเกษตรต้องมีพื้นที่ไม่เกิน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ไร่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ในกรณีที่ใช้ประโยชน์ที่ดินในการเกษตรต้องมีพื้นที่ไม่เกิน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ไร่</w:t>
      </w:r>
    </w:p>
    <w:p w:rsidR="003C0B3D" w:rsidRPr="00C40E5E" w:rsidRDefault="003C0B3D" w:rsidP="003C0B3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 w:hint="cs"/>
          <w:b/>
          <w:bCs/>
          <w:color w:val="050505"/>
          <w:sz w:val="28"/>
          <w:u w:val="double"/>
          <w:cs/>
        </w:rPr>
        <w:t>หมายเหตุ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 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 xml:space="preserve"> องค์การบริหารส่วนตำบลเมืองยาง 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เป็นเพียงหน่วยงานรับเอกสารยื่นคำขอเท่านั้น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 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 xml:space="preserve"> ใน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ส่วนการพิจารณ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>า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อนุมัติจ่ายเงิน/โอนเงิน เป็นหน้าที่ของสำนักงานพัฒนาสังคมและและความมั่นคงของมนุษย์จังหวัดบุรีรัมย์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 xml:space="preserve"> </w:t>
      </w:r>
    </w:p>
    <w:p w:rsidR="00B345AE" w:rsidRDefault="00B345AE"/>
    <w:sectPr w:rsidR="00B345AE" w:rsidSect="004860BA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9E"/>
    <w:rsid w:val="00022A7E"/>
    <w:rsid w:val="00025825"/>
    <w:rsid w:val="00026D41"/>
    <w:rsid w:val="00063BA0"/>
    <w:rsid w:val="00065520"/>
    <w:rsid w:val="00066848"/>
    <w:rsid w:val="00073F6A"/>
    <w:rsid w:val="000841AF"/>
    <w:rsid w:val="000B2301"/>
    <w:rsid w:val="000C767D"/>
    <w:rsid w:val="000E3C35"/>
    <w:rsid w:val="0011796C"/>
    <w:rsid w:val="00124AF4"/>
    <w:rsid w:val="001329F2"/>
    <w:rsid w:val="00145F74"/>
    <w:rsid w:val="00170E94"/>
    <w:rsid w:val="00177FC4"/>
    <w:rsid w:val="00180607"/>
    <w:rsid w:val="001A606F"/>
    <w:rsid w:val="001B23F8"/>
    <w:rsid w:val="001C5C31"/>
    <w:rsid w:val="001D7BBF"/>
    <w:rsid w:val="001E3D8D"/>
    <w:rsid w:val="001F0F13"/>
    <w:rsid w:val="00201705"/>
    <w:rsid w:val="00217653"/>
    <w:rsid w:val="00271006"/>
    <w:rsid w:val="00284976"/>
    <w:rsid w:val="0028553D"/>
    <w:rsid w:val="002A2677"/>
    <w:rsid w:val="002C40D2"/>
    <w:rsid w:val="002C6678"/>
    <w:rsid w:val="002E2622"/>
    <w:rsid w:val="002F1541"/>
    <w:rsid w:val="002F5EA7"/>
    <w:rsid w:val="00305B44"/>
    <w:rsid w:val="00325602"/>
    <w:rsid w:val="003266AE"/>
    <w:rsid w:val="003438C0"/>
    <w:rsid w:val="003457A6"/>
    <w:rsid w:val="00362158"/>
    <w:rsid w:val="003B6205"/>
    <w:rsid w:val="003C01DF"/>
    <w:rsid w:val="003C0B3D"/>
    <w:rsid w:val="003E14B2"/>
    <w:rsid w:val="003E67CC"/>
    <w:rsid w:val="003F586D"/>
    <w:rsid w:val="00405257"/>
    <w:rsid w:val="00411BA8"/>
    <w:rsid w:val="00421C0B"/>
    <w:rsid w:val="00431E2D"/>
    <w:rsid w:val="00432D97"/>
    <w:rsid w:val="00433A3C"/>
    <w:rsid w:val="0043422A"/>
    <w:rsid w:val="00445B3E"/>
    <w:rsid w:val="004613D7"/>
    <w:rsid w:val="00462260"/>
    <w:rsid w:val="00472921"/>
    <w:rsid w:val="004860BA"/>
    <w:rsid w:val="004C3A85"/>
    <w:rsid w:val="004D6749"/>
    <w:rsid w:val="004D7A6A"/>
    <w:rsid w:val="00512B78"/>
    <w:rsid w:val="0051664A"/>
    <w:rsid w:val="00516B8B"/>
    <w:rsid w:val="00530823"/>
    <w:rsid w:val="005403AF"/>
    <w:rsid w:val="00544945"/>
    <w:rsid w:val="00593041"/>
    <w:rsid w:val="005C2D50"/>
    <w:rsid w:val="005C5F90"/>
    <w:rsid w:val="005D5482"/>
    <w:rsid w:val="005D7A07"/>
    <w:rsid w:val="006033BA"/>
    <w:rsid w:val="00611EB6"/>
    <w:rsid w:val="00637B10"/>
    <w:rsid w:val="00650A1E"/>
    <w:rsid w:val="0069676E"/>
    <w:rsid w:val="006A019C"/>
    <w:rsid w:val="006E315D"/>
    <w:rsid w:val="006E528C"/>
    <w:rsid w:val="007000B9"/>
    <w:rsid w:val="0076531E"/>
    <w:rsid w:val="00791E05"/>
    <w:rsid w:val="007D1F05"/>
    <w:rsid w:val="007E0FFB"/>
    <w:rsid w:val="007E100C"/>
    <w:rsid w:val="007E2133"/>
    <w:rsid w:val="00814BBF"/>
    <w:rsid w:val="0085649B"/>
    <w:rsid w:val="008641F8"/>
    <w:rsid w:val="008B1D5E"/>
    <w:rsid w:val="008B385D"/>
    <w:rsid w:val="008C2FD2"/>
    <w:rsid w:val="008C5797"/>
    <w:rsid w:val="008D1A0C"/>
    <w:rsid w:val="00913923"/>
    <w:rsid w:val="00916C66"/>
    <w:rsid w:val="00917152"/>
    <w:rsid w:val="009371B9"/>
    <w:rsid w:val="00993EE4"/>
    <w:rsid w:val="009B538F"/>
    <w:rsid w:val="009C59DF"/>
    <w:rsid w:val="009C5C23"/>
    <w:rsid w:val="00A00410"/>
    <w:rsid w:val="00A009B1"/>
    <w:rsid w:val="00A23FC6"/>
    <w:rsid w:val="00A36159"/>
    <w:rsid w:val="00A565A6"/>
    <w:rsid w:val="00A65F61"/>
    <w:rsid w:val="00A8682B"/>
    <w:rsid w:val="00AA7894"/>
    <w:rsid w:val="00AB114E"/>
    <w:rsid w:val="00AC6391"/>
    <w:rsid w:val="00AE2D25"/>
    <w:rsid w:val="00AF6C31"/>
    <w:rsid w:val="00B018D5"/>
    <w:rsid w:val="00B06D7D"/>
    <w:rsid w:val="00B071CC"/>
    <w:rsid w:val="00B14EFF"/>
    <w:rsid w:val="00B345AE"/>
    <w:rsid w:val="00B46694"/>
    <w:rsid w:val="00B6405E"/>
    <w:rsid w:val="00B83F96"/>
    <w:rsid w:val="00BB7D95"/>
    <w:rsid w:val="00BC5932"/>
    <w:rsid w:val="00BF5777"/>
    <w:rsid w:val="00BF5ED9"/>
    <w:rsid w:val="00C036C2"/>
    <w:rsid w:val="00C22DAC"/>
    <w:rsid w:val="00C27888"/>
    <w:rsid w:val="00C279FA"/>
    <w:rsid w:val="00C3101A"/>
    <w:rsid w:val="00C40E5E"/>
    <w:rsid w:val="00C60610"/>
    <w:rsid w:val="00C96440"/>
    <w:rsid w:val="00CA653E"/>
    <w:rsid w:val="00CB0AD0"/>
    <w:rsid w:val="00D003F4"/>
    <w:rsid w:val="00D441AD"/>
    <w:rsid w:val="00D54FED"/>
    <w:rsid w:val="00D558F2"/>
    <w:rsid w:val="00D6470C"/>
    <w:rsid w:val="00D6509E"/>
    <w:rsid w:val="00D71245"/>
    <w:rsid w:val="00D726DF"/>
    <w:rsid w:val="00D801B1"/>
    <w:rsid w:val="00DA736C"/>
    <w:rsid w:val="00DF6F17"/>
    <w:rsid w:val="00E62020"/>
    <w:rsid w:val="00E843F4"/>
    <w:rsid w:val="00E9291E"/>
    <w:rsid w:val="00E942AD"/>
    <w:rsid w:val="00E952D2"/>
    <w:rsid w:val="00EA1D5F"/>
    <w:rsid w:val="00EE6C5A"/>
    <w:rsid w:val="00EF0524"/>
    <w:rsid w:val="00F30546"/>
    <w:rsid w:val="00F55550"/>
    <w:rsid w:val="00F75C8F"/>
    <w:rsid w:val="00F9736E"/>
    <w:rsid w:val="00F977A0"/>
    <w:rsid w:val="00FB0DE6"/>
    <w:rsid w:val="00FC1286"/>
    <w:rsid w:val="00FC1FE9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DA5B6-0EE3-4B94-B50C-3C64998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Lenovo-Think</cp:lastModifiedBy>
  <cp:revision>3</cp:revision>
  <dcterms:created xsi:type="dcterms:W3CDTF">2021-07-06T06:48:00Z</dcterms:created>
  <dcterms:modified xsi:type="dcterms:W3CDTF">2021-07-07T03:03:00Z</dcterms:modified>
</cp:coreProperties>
</file>